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64AE">
      <w:pPr>
        <w:pStyle w:val="2"/>
        <w:spacing w:before="29" w:line="219" w:lineRule="auto"/>
        <w:ind w:left="3501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7"/>
          <w:sz w:val="22"/>
          <w:szCs w:val="22"/>
        </w:rPr>
        <w:t>专业委员会管理制度</w:t>
      </w:r>
    </w:p>
    <w:p w14:paraId="054A4A43">
      <w:pPr>
        <w:pStyle w:val="2"/>
        <w:spacing w:before="176" w:line="219" w:lineRule="auto"/>
        <w:ind w:left="3090"/>
        <w:outlineLvl w:val="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6"/>
          <w:sz w:val="20"/>
          <w:szCs w:val="20"/>
        </w:rPr>
        <w:t>第一章总则</w:t>
      </w:r>
    </w:p>
    <w:p w14:paraId="4472CE24">
      <w:pPr>
        <w:pStyle w:val="2"/>
        <w:spacing w:before="104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3"/>
          <w:sz w:val="16"/>
          <w:szCs w:val="16"/>
        </w:rPr>
        <w:t>第一条目的和依据</w:t>
      </w:r>
    </w:p>
    <w:p w14:paraId="63611C1C">
      <w:pPr>
        <w:pStyle w:val="2"/>
        <w:spacing w:before="45" w:line="255" w:lineRule="auto"/>
        <w:ind w:left="3089" w:right="3134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为规范广东省南粤文化交流中心专业委员会的管理，提高其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sz w:val="16"/>
          <w:szCs w:val="16"/>
        </w:rPr>
        <w:t>专</w:t>
      </w:r>
      <w:r>
        <w:rPr>
          <w:rFonts w:hint="eastAsia" w:ascii="仿宋" w:hAnsi="仿宋" w:eastAsia="仿宋" w:cs="仿宋"/>
          <w:spacing w:val="2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业化、规范化水平，确保委员履职尽责，制定本管理制度。本</w:t>
      </w:r>
      <w:r>
        <w:rPr>
          <w:rFonts w:hint="eastAsia" w:ascii="仿宋" w:hAnsi="仿宋" w:eastAsia="仿宋" w:cs="仿宋"/>
          <w:spacing w:val="1"/>
          <w:sz w:val="16"/>
          <w:szCs w:val="16"/>
        </w:rPr>
        <w:t xml:space="preserve"> 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制度依据相关国家法律法规、上级管理组织规定及南粤文化交</w:t>
      </w:r>
      <w:r>
        <w:rPr>
          <w:rFonts w:hint="eastAsia" w:ascii="仿宋" w:hAnsi="仿宋" w:eastAsia="仿宋" w:cs="仿宋"/>
          <w:spacing w:val="13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流中心的管理要求制定。</w:t>
      </w:r>
    </w:p>
    <w:p w14:paraId="610B7EF9">
      <w:pPr>
        <w:pStyle w:val="2"/>
        <w:spacing w:before="92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第二条适用范围</w:t>
      </w:r>
    </w:p>
    <w:p w14:paraId="6C5801F4">
      <w:pPr>
        <w:pStyle w:val="2"/>
        <w:spacing w:before="45" w:line="267" w:lineRule="auto"/>
        <w:ind w:left="3089" w:right="311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本制度适用于广东省南粤文化交流中心下设的所有专业委员</w:t>
      </w:r>
      <w:r>
        <w:rPr>
          <w:rFonts w:hint="eastAsia" w:ascii="仿宋" w:hAnsi="仿宋" w:eastAsia="仿宋" w:cs="仿宋"/>
          <w:spacing w:val="4"/>
          <w:sz w:val="16"/>
          <w:szCs w:val="16"/>
        </w:rPr>
        <w:t xml:space="preserve">    </w:t>
      </w:r>
      <w:r>
        <w:rPr>
          <w:rFonts w:hint="eastAsia" w:ascii="仿宋" w:hAnsi="仿宋" w:eastAsia="仿宋" w:cs="仿宋"/>
          <w:spacing w:val="-4"/>
          <w:sz w:val="16"/>
          <w:szCs w:val="16"/>
        </w:rPr>
        <w:t>会，包括但不限于研究类、策划类、规划类、设计类、工程类、</w:t>
      </w:r>
      <w:r>
        <w:rPr>
          <w:rFonts w:hint="eastAsia" w:ascii="仿宋" w:hAnsi="仿宋" w:eastAsia="仿宋" w:cs="仿宋"/>
          <w:spacing w:val="1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4"/>
          <w:sz w:val="16"/>
          <w:szCs w:val="16"/>
        </w:rPr>
        <w:t>管理类、金融类、产业类、科技类、文化类、商业类、法务类、</w:t>
      </w:r>
      <w:r>
        <w:rPr>
          <w:rFonts w:hint="eastAsia" w:ascii="仿宋" w:hAnsi="仿宋" w:eastAsia="仿宋" w:cs="仿宋"/>
          <w:spacing w:val="1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安全类等。</w:t>
      </w:r>
    </w:p>
    <w:p w14:paraId="6B083760">
      <w:pPr>
        <w:pStyle w:val="2"/>
        <w:spacing w:before="157" w:line="219" w:lineRule="auto"/>
        <w:ind w:left="3090"/>
        <w:outlineLvl w:val="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1"/>
          <w:sz w:val="20"/>
          <w:szCs w:val="20"/>
        </w:rPr>
        <w:t>第二章委员准入条件</w:t>
      </w:r>
    </w:p>
    <w:p w14:paraId="6BC9339C">
      <w:pPr>
        <w:pStyle w:val="2"/>
        <w:spacing w:before="104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第三条基本条件</w:t>
      </w:r>
    </w:p>
    <w:p w14:paraId="2AFC7DD3">
      <w:pPr>
        <w:pStyle w:val="2"/>
        <w:spacing w:before="36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申请成为专业委员会委员须满足以下基本要求：</w:t>
      </w:r>
    </w:p>
    <w:p w14:paraId="2F8A7F44">
      <w:pPr>
        <w:pStyle w:val="2"/>
        <w:spacing w:before="2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1. 学术背景：具备相关领域的本科及以上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学历。</w:t>
      </w:r>
    </w:p>
    <w:p w14:paraId="0865F464">
      <w:pPr>
        <w:pStyle w:val="2"/>
        <w:spacing w:before="11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2. 工作经验：具有不少于3年的相关行业工作经验。</w:t>
      </w:r>
    </w:p>
    <w:p w14:paraId="143BDF95">
      <w:pPr>
        <w:pStyle w:val="2"/>
        <w:spacing w:before="30" w:line="255" w:lineRule="auto"/>
        <w:ind w:left="3089" w:right="3150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4"/>
          <w:sz w:val="16"/>
          <w:szCs w:val="16"/>
        </w:rPr>
        <w:t>3. 职称要求：如适用，须持有中级及以上职称或具备相当水平</w:t>
      </w:r>
      <w:r>
        <w:rPr>
          <w:rFonts w:hint="eastAsia" w:ascii="仿宋" w:hAnsi="仿宋" w:eastAsia="仿宋" w:cs="仿宋"/>
          <w:spacing w:val="8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的专业资质。</w:t>
      </w:r>
    </w:p>
    <w:p w14:paraId="65018297">
      <w:pPr>
        <w:pStyle w:val="2"/>
        <w:spacing w:before="9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3"/>
          <w:sz w:val="16"/>
          <w:szCs w:val="16"/>
        </w:rPr>
        <w:t>第四条专业要求</w:t>
      </w:r>
    </w:p>
    <w:p w14:paraId="5670A8B8">
      <w:pPr>
        <w:pStyle w:val="2"/>
        <w:spacing w:before="2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 具备所申请专业委员会对应领域的专业知识和实践经验。</w:t>
      </w:r>
    </w:p>
    <w:p w14:paraId="2DD1A88C">
      <w:pPr>
        <w:pStyle w:val="2"/>
        <w:spacing w:before="3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2. 能够为委员会的研究、决策和咨询工作提供专业支持。</w:t>
      </w:r>
    </w:p>
    <w:p w14:paraId="289F268D">
      <w:pPr>
        <w:pStyle w:val="2"/>
        <w:spacing w:before="109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第五条道德标准</w:t>
      </w:r>
    </w:p>
    <w:p w14:paraId="78608A02">
      <w:pPr>
        <w:pStyle w:val="2"/>
        <w:spacing w:before="22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1.具备良好的职业道德，遵循诚信、公正和责任原则。</w:t>
      </w:r>
    </w:p>
    <w:p w14:paraId="733C8AEA">
      <w:pPr>
        <w:pStyle w:val="2"/>
        <w:spacing w:before="3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2. 无不良信用记录，无违法违纪行为。</w:t>
      </w:r>
    </w:p>
    <w:p w14:paraId="669F7AEE">
      <w:pPr>
        <w:pStyle w:val="2"/>
        <w:spacing w:before="12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3"/>
          <w:sz w:val="16"/>
          <w:szCs w:val="16"/>
        </w:rPr>
        <w:t>第六条身体条件</w:t>
      </w:r>
    </w:p>
    <w:p w14:paraId="761E298E">
      <w:pPr>
        <w:pStyle w:val="2"/>
        <w:spacing w:before="14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 身心健康，能够胜任委员会的相关工作。</w:t>
      </w:r>
    </w:p>
    <w:p w14:paraId="6F66E0F3">
      <w:pPr>
        <w:pStyle w:val="2"/>
        <w:spacing w:before="46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2. 无影响履职的重大健康问题。</w:t>
      </w:r>
    </w:p>
    <w:p w14:paraId="26C30FDB">
      <w:pPr>
        <w:pStyle w:val="2"/>
        <w:spacing w:before="164" w:line="219" w:lineRule="auto"/>
        <w:ind w:left="3090"/>
        <w:outlineLvl w:val="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1"/>
          <w:sz w:val="20"/>
          <w:szCs w:val="20"/>
        </w:rPr>
        <w:t>第三章委员任命程序</w:t>
      </w:r>
    </w:p>
    <w:p w14:paraId="787F7899">
      <w:pPr>
        <w:pStyle w:val="2"/>
        <w:spacing w:before="9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3"/>
          <w:sz w:val="16"/>
          <w:szCs w:val="16"/>
        </w:rPr>
        <w:t>第七条提名和推荐</w:t>
      </w:r>
    </w:p>
    <w:p w14:paraId="287F687D">
      <w:pPr>
        <w:pStyle w:val="2"/>
        <w:spacing w:before="4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4"/>
          <w:sz w:val="16"/>
          <w:szCs w:val="16"/>
        </w:rPr>
        <w:t>1. 申请人可通过自荐或推荐方式提出申请。</w:t>
      </w:r>
    </w:p>
    <w:p w14:paraId="41E0F33E">
      <w:pPr>
        <w:pStyle w:val="2"/>
        <w:spacing w:before="21" w:line="253" w:lineRule="auto"/>
        <w:ind w:left="3089" w:right="3150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4"/>
          <w:sz w:val="16"/>
          <w:szCs w:val="16"/>
        </w:rPr>
        <w:t>2. 推荐人应为现任委员、业内专家或相关社会组织代表，并提</w:t>
      </w:r>
      <w:r>
        <w:rPr>
          <w:rFonts w:hint="eastAsia" w:ascii="仿宋" w:hAnsi="仿宋" w:eastAsia="仿宋" w:cs="仿宋"/>
          <w:spacing w:val="8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交推荐信。</w:t>
      </w:r>
    </w:p>
    <w:p w14:paraId="56CA9E44">
      <w:pPr>
        <w:pStyle w:val="2"/>
        <w:spacing w:before="10" w:line="215" w:lineRule="auto"/>
        <w:ind w:left="3089" w:right="3135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3.</w:t>
      </w:r>
      <w:r>
        <w:rPr>
          <w:rFonts w:hint="eastAsia" w:ascii="仿宋" w:hAnsi="仿宋" w:eastAsia="仿宋" w:cs="仿宋"/>
          <w:spacing w:val="-9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申请人需提交个人简历、学历和职称证明、工作经历及相关</w:t>
      </w:r>
      <w:r>
        <w:rPr>
          <w:rFonts w:hint="eastAsia" w:ascii="仿宋" w:hAnsi="仿宋" w:eastAsia="仿宋" w:cs="仿宋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14"/>
          <w:w w:val="97"/>
          <w:sz w:val="20"/>
          <w:szCs w:val="20"/>
        </w:rPr>
        <w:t>材料。</w:t>
      </w:r>
    </w:p>
    <w:p w14:paraId="6FE6FFC1">
      <w:pPr>
        <w:pStyle w:val="2"/>
        <w:spacing w:before="109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3"/>
          <w:sz w:val="16"/>
          <w:szCs w:val="16"/>
        </w:rPr>
        <w:t>第八条审核和评审</w:t>
      </w:r>
    </w:p>
    <w:p w14:paraId="6ABAE19D">
      <w:pPr>
        <w:pStyle w:val="2"/>
        <w:spacing w:before="4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1. 由专业委员会设立评审委员会，负责委员的资格审核。</w:t>
      </w:r>
    </w:p>
    <w:p w14:paraId="4E4A33E8">
      <w:pPr>
        <w:pStyle w:val="2"/>
        <w:spacing w:before="15" w:line="238" w:lineRule="auto"/>
        <w:ind w:left="3089" w:right="3150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4"/>
          <w:sz w:val="16"/>
          <w:szCs w:val="16"/>
        </w:rPr>
        <w:t>2. 评审委员会依据申请人背景、工作经验、专业能力等进行综</w:t>
      </w:r>
      <w:r>
        <w:rPr>
          <w:rFonts w:hint="eastAsia" w:ascii="仿宋" w:hAnsi="仿宋" w:eastAsia="仿宋" w:cs="仿宋"/>
          <w:spacing w:val="8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合评定。</w:t>
      </w:r>
    </w:p>
    <w:p w14:paraId="541AA48F">
      <w:pPr>
        <w:pStyle w:val="2"/>
        <w:spacing w:before="34" w:line="208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3. 评审合格后提交最终决定交流中心审批。</w:t>
      </w:r>
    </w:p>
    <w:p w14:paraId="7A23A276">
      <w:pPr>
        <w:pStyle w:val="2"/>
        <w:spacing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3"/>
          <w:sz w:val="16"/>
          <w:szCs w:val="16"/>
        </w:rPr>
        <w:t>第九条任命决定</w:t>
      </w:r>
    </w:p>
    <w:p w14:paraId="322CAFB5">
      <w:pPr>
        <w:pStyle w:val="2"/>
        <w:spacing w:before="4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 评审通过后，由委员会正式发放任命书。</w:t>
      </w:r>
    </w:p>
    <w:p w14:paraId="4A6B6025">
      <w:pPr>
        <w:pStyle w:val="2"/>
        <w:spacing w:before="2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2.任命期一般为3年，期满可申请继续就任。</w:t>
      </w:r>
    </w:p>
    <w:p w14:paraId="6A8248A4">
      <w:pPr>
        <w:pStyle w:val="2"/>
        <w:spacing w:before="169" w:line="219" w:lineRule="auto"/>
        <w:ind w:left="3090"/>
        <w:outlineLvl w:val="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1"/>
          <w:sz w:val="20"/>
          <w:szCs w:val="20"/>
        </w:rPr>
        <w:t>第四章委员职责和义务</w:t>
      </w:r>
    </w:p>
    <w:p w14:paraId="3BCC40D5">
      <w:pPr>
        <w:pStyle w:val="2"/>
        <w:spacing w:before="130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第十条主要职责</w:t>
      </w:r>
    </w:p>
    <w:p w14:paraId="3D9C1D99">
      <w:pPr>
        <w:pStyle w:val="2"/>
        <w:spacing w:before="21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1. 参与委员会的研究、规划、咨询等工作。</w:t>
      </w:r>
    </w:p>
    <w:p w14:paraId="5F7F72E4">
      <w:pPr>
        <w:pStyle w:val="2"/>
        <w:spacing w:before="1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2. 提供专业意见，协助制定行业标准、政策建议等。</w:t>
      </w:r>
    </w:p>
    <w:p w14:paraId="465842E8">
      <w:pPr>
        <w:pStyle w:val="2"/>
        <w:spacing w:before="1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3. 组织或参与相关培训、研讨会及行业交流活动。</w:t>
      </w:r>
    </w:p>
    <w:p w14:paraId="4F654A8A">
      <w:pPr>
        <w:pStyle w:val="2"/>
        <w:spacing w:before="10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3"/>
          <w:sz w:val="16"/>
          <w:szCs w:val="16"/>
        </w:rPr>
        <w:t>第十一条参与活动</w:t>
      </w:r>
    </w:p>
    <w:p w14:paraId="07961EEE">
      <w:pPr>
        <w:pStyle w:val="2"/>
        <w:spacing w:before="5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 委员须按要求参加委员会召开的例会和专题会议。</w:t>
      </w:r>
    </w:p>
    <w:p w14:paraId="1C4A0F0F">
      <w:pPr>
        <w:pStyle w:val="2"/>
        <w:spacing w:before="2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2. 每年应至少参加2次委员会组织的学术或实践活动。</w:t>
      </w:r>
    </w:p>
    <w:p w14:paraId="35B95B80">
      <w:pPr>
        <w:pStyle w:val="2"/>
        <w:spacing w:before="85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第十二条保密和纪律</w:t>
      </w:r>
    </w:p>
    <w:p w14:paraId="31A3C787">
      <w:pPr>
        <w:pStyle w:val="2"/>
        <w:spacing w:before="5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 委员应严格遵守委员会的保密制度，不得泄露内部信息。</w:t>
      </w:r>
    </w:p>
    <w:p w14:paraId="122A47F2">
      <w:pPr>
        <w:pStyle w:val="2"/>
        <w:spacing w:before="36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2. 遵守职业道德，不得利用委员身份谋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取不正当利益。</w:t>
      </w:r>
    </w:p>
    <w:p w14:paraId="56C00545">
      <w:pPr>
        <w:pStyle w:val="2"/>
        <w:spacing w:before="9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3"/>
          <w:sz w:val="16"/>
          <w:szCs w:val="16"/>
        </w:rPr>
        <w:t>第十三条持续发展</w:t>
      </w:r>
    </w:p>
    <w:p w14:paraId="585F07AA">
      <w:pPr>
        <w:pStyle w:val="2"/>
        <w:spacing w:before="4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鼓励委员不断学习和进修，保持专业领先地位，委员会可提供</w:t>
      </w:r>
    </w:p>
    <w:p w14:paraId="42D292BB">
      <w:pPr>
        <w:pStyle w:val="2"/>
        <w:spacing w:before="29" w:line="186" w:lineRule="auto"/>
        <w:ind w:left="3090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-3"/>
          <w:sz w:val="16"/>
          <w:szCs w:val="16"/>
        </w:rPr>
        <w:t>相关培训支持。</w:t>
      </w:r>
    </w:p>
    <w:p w14:paraId="7CB3AC6D">
      <w:pPr>
        <w:pStyle w:val="2"/>
        <w:spacing w:line="218" w:lineRule="auto"/>
        <w:ind w:left="3090"/>
        <w:outlineLvl w:val="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-2"/>
          <w:sz w:val="20"/>
          <w:szCs w:val="20"/>
        </w:rPr>
        <w:t>第五章委员考核与激励</w:t>
      </w:r>
    </w:p>
    <w:p w14:paraId="0DF11D2C">
      <w:pPr>
        <w:pStyle w:val="2"/>
        <w:spacing w:before="129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第十四条考核机制</w:t>
      </w:r>
    </w:p>
    <w:p w14:paraId="7D486288">
      <w:pPr>
        <w:pStyle w:val="2"/>
        <w:spacing w:before="27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 每年对委员履职情况进行考核，考核内容包括：</w:t>
      </w:r>
    </w:p>
    <w:p w14:paraId="72F24968">
      <w:pPr>
        <w:pStyle w:val="2"/>
        <w:spacing w:before="15" w:line="219" w:lineRule="auto"/>
        <w:ind w:left="32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参与活动次数</w:t>
      </w:r>
    </w:p>
    <w:p w14:paraId="416085F5">
      <w:pPr>
        <w:pStyle w:val="2"/>
        <w:spacing w:before="14" w:line="219" w:lineRule="auto"/>
        <w:ind w:left="32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研究或咨询成果</w:t>
      </w:r>
    </w:p>
    <w:p w14:paraId="335B9709">
      <w:pPr>
        <w:pStyle w:val="2"/>
        <w:spacing w:before="16" w:line="220" w:lineRule="auto"/>
        <w:ind w:left="32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专业贡献度</w:t>
      </w:r>
    </w:p>
    <w:p w14:paraId="7D6404BD">
      <w:pPr>
        <w:pStyle w:val="2"/>
        <w:spacing w:before="34" w:line="268" w:lineRule="auto"/>
        <w:ind w:left="3089" w:right="3150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4"/>
          <w:sz w:val="16"/>
          <w:szCs w:val="16"/>
        </w:rPr>
        <w:t>2. 考核结果分为“优秀”“合格”“待改进”三档，考核不合</w:t>
      </w:r>
      <w:r>
        <w:rPr>
          <w:rFonts w:hint="eastAsia" w:ascii="仿宋" w:hAnsi="仿宋" w:eastAsia="仿宋" w:cs="仿宋"/>
          <w:spacing w:val="8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格者须整改或退出。</w:t>
      </w:r>
    </w:p>
    <w:p w14:paraId="5492F126">
      <w:pPr>
        <w:pStyle w:val="2"/>
        <w:spacing w:before="117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1"/>
          <w:sz w:val="16"/>
          <w:szCs w:val="16"/>
        </w:rPr>
        <w:t>第十五条激励措施</w:t>
      </w:r>
    </w:p>
    <w:p w14:paraId="776D6750">
      <w:pPr>
        <w:pStyle w:val="2"/>
        <w:spacing w:before="17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 对考核优秀的委员，给予表彰或奖励。</w:t>
      </w:r>
    </w:p>
    <w:p w14:paraId="5B517AE3">
      <w:pPr>
        <w:pStyle w:val="2"/>
        <w:spacing w:before="9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2. 表现突出者可推荐为委员会领导成员或相关行业评审专家。</w:t>
      </w:r>
    </w:p>
    <w:p w14:paraId="7745F98F">
      <w:pPr>
        <w:pStyle w:val="2"/>
        <w:spacing w:before="115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第十六条继续教育</w:t>
      </w:r>
    </w:p>
    <w:p w14:paraId="3311E4C4">
      <w:pPr>
        <w:pStyle w:val="2"/>
        <w:spacing w:before="31" w:line="279" w:lineRule="auto"/>
        <w:ind w:left="3089" w:right="314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鼓励委员参加继续教育，委员会可提供进修机会或专业培训支</w:t>
      </w:r>
      <w:r>
        <w:rPr>
          <w:rFonts w:hint="eastAsia" w:ascii="仿宋" w:hAnsi="仿宋" w:eastAsia="仿宋" w:cs="仿宋"/>
          <w:spacing w:val="14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4"/>
          <w:sz w:val="16"/>
          <w:szCs w:val="16"/>
        </w:rPr>
        <w:t>持。</w:t>
      </w:r>
    </w:p>
    <w:p w14:paraId="3CAE4589">
      <w:pPr>
        <w:pStyle w:val="2"/>
        <w:spacing w:before="92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1"/>
          <w:sz w:val="16"/>
          <w:szCs w:val="16"/>
        </w:rPr>
        <w:t>第十七条违规处理</w:t>
      </w:r>
    </w:p>
    <w:p w14:paraId="74B5AA97">
      <w:pPr>
        <w:pStyle w:val="2"/>
        <w:spacing w:before="31" w:line="237" w:lineRule="auto"/>
        <w:ind w:left="3089" w:right="3148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4"/>
          <w:sz w:val="16"/>
          <w:szCs w:val="16"/>
        </w:rPr>
        <w:t>1. 若委员违反管理制度或道德规范，视情况给予警告、暂停资</w:t>
      </w:r>
      <w:r>
        <w:rPr>
          <w:rFonts w:hint="eastAsia" w:ascii="仿宋" w:hAnsi="仿宋" w:eastAsia="仿宋" w:cs="仿宋"/>
          <w:spacing w:val="10"/>
          <w:w w:val="101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格或解除任命处理。</w:t>
      </w:r>
    </w:p>
    <w:p w14:paraId="33F3DB72">
      <w:pPr>
        <w:pStyle w:val="2"/>
        <w:spacing w:before="33" w:line="174" w:lineRule="auto"/>
        <w:ind w:left="3090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-2"/>
          <w:sz w:val="16"/>
          <w:szCs w:val="16"/>
        </w:rPr>
        <w:t>2.</w:t>
      </w:r>
      <w:r>
        <w:rPr>
          <w:rFonts w:hint="eastAsia" w:ascii="仿宋" w:hAnsi="仿宋" w:eastAsia="仿宋" w:cs="仿宋"/>
          <w:spacing w:val="-2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16"/>
          <w:szCs w:val="16"/>
        </w:rPr>
        <w:t>严重违规者将列入黑名单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，不得再次申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请委员资格。</w:t>
      </w:r>
    </w:p>
    <w:p w14:paraId="20896B0B">
      <w:pPr>
        <w:pStyle w:val="2"/>
        <w:spacing w:before="1" w:line="210" w:lineRule="auto"/>
        <w:ind w:left="3090"/>
        <w:outlineLvl w:val="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1"/>
          <w:sz w:val="20"/>
          <w:szCs w:val="20"/>
        </w:rPr>
        <w:t>第六章管理和监督</w:t>
      </w:r>
    </w:p>
    <w:p w14:paraId="15259519">
      <w:pPr>
        <w:pStyle w:val="2"/>
        <w:spacing w:before="139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第十八条组织机构</w:t>
      </w:r>
    </w:p>
    <w:p w14:paraId="57847DAE">
      <w:pPr>
        <w:pStyle w:val="2"/>
        <w:spacing w:before="21" w:line="268" w:lineRule="auto"/>
        <w:ind w:left="3089" w:right="315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南粤文化交流中心设立专门管理组织，负责专业委员会的日常</w:t>
      </w:r>
      <w:r>
        <w:rPr>
          <w:rFonts w:hint="eastAsia" w:ascii="仿宋" w:hAnsi="仿宋" w:eastAsia="仿宋" w:cs="仿宋"/>
          <w:spacing w:val="4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管理及委员的考核与监督。</w:t>
      </w:r>
    </w:p>
    <w:p w14:paraId="1EFE7968">
      <w:pPr>
        <w:pStyle w:val="2"/>
        <w:spacing w:before="91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第十九条监督机制</w:t>
      </w:r>
    </w:p>
    <w:p w14:paraId="6C8F17C9">
      <w:pPr>
        <w:pStyle w:val="2"/>
        <w:spacing w:before="42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</w:t>
      </w:r>
      <w:r>
        <w:rPr>
          <w:rFonts w:hint="eastAsia" w:ascii="仿宋" w:hAnsi="仿宋" w:eastAsia="仿宋" w:cs="仿宋"/>
          <w:spacing w:val="17"/>
          <w:w w:val="101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设立投诉和监督渠道，接受内部和外部监督。</w:t>
      </w:r>
    </w:p>
    <w:p w14:paraId="3F5B304B">
      <w:pPr>
        <w:pStyle w:val="2"/>
        <w:spacing w:before="20" w:line="218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2. 定期召开会议，评估委员会运作情况。</w:t>
      </w:r>
    </w:p>
    <w:p w14:paraId="79AD8C7F">
      <w:pPr>
        <w:pStyle w:val="2"/>
        <w:spacing w:before="175" w:line="219" w:lineRule="auto"/>
        <w:ind w:left="3090"/>
        <w:outlineLvl w:val="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1"/>
          <w:sz w:val="20"/>
          <w:szCs w:val="20"/>
        </w:rPr>
        <w:t>第七章委员退出机制</w:t>
      </w:r>
    </w:p>
    <w:p w14:paraId="3F0910EA">
      <w:pPr>
        <w:pStyle w:val="2"/>
        <w:spacing w:before="99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2"/>
          <w:sz w:val="16"/>
          <w:szCs w:val="16"/>
        </w:rPr>
        <w:t>第二十条正常退出</w:t>
      </w:r>
    </w:p>
    <w:p w14:paraId="2362F164">
      <w:pPr>
        <w:pStyle w:val="2"/>
        <w:spacing w:before="46" w:line="258" w:lineRule="auto"/>
        <w:ind w:left="3089" w:right="3151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委员因个人原因申请退出的，需提前1个月提交书面申请，批</w:t>
      </w:r>
      <w:r>
        <w:rPr>
          <w:rFonts w:hint="eastAsia" w:ascii="仿宋" w:hAnsi="仿宋" w:eastAsia="仿宋" w:cs="仿宋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准后正式退出。</w:t>
      </w:r>
    </w:p>
    <w:p w14:paraId="6C6549F4">
      <w:pPr>
        <w:pStyle w:val="2"/>
        <w:spacing w:before="77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2"/>
          <w:sz w:val="16"/>
          <w:szCs w:val="16"/>
        </w:rPr>
        <w:t>第二十一条非正常退出</w:t>
      </w:r>
    </w:p>
    <w:p w14:paraId="4FDCF3E7">
      <w:pPr>
        <w:pStyle w:val="2"/>
        <w:spacing w:before="55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1.</w:t>
      </w:r>
      <w:r>
        <w:rPr>
          <w:rFonts w:hint="eastAsia" w:ascii="仿宋" w:hAnsi="仿宋" w:eastAsia="仿宋" w:cs="仿宋"/>
          <w:spacing w:val="-11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考核不达标且整改无效者，将终止其委员</w:t>
      </w:r>
      <w:r>
        <w:rPr>
          <w:rFonts w:hint="eastAsia" w:ascii="仿宋" w:hAnsi="仿宋" w:eastAsia="仿宋" w:cs="仿宋"/>
          <w:spacing w:val="-4"/>
          <w:sz w:val="16"/>
          <w:szCs w:val="16"/>
        </w:rPr>
        <w:t>资格。</w:t>
      </w:r>
    </w:p>
    <w:p w14:paraId="39613E0B">
      <w:pPr>
        <w:pStyle w:val="2"/>
        <w:spacing w:before="35" w:line="218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2"/>
          <w:sz w:val="16"/>
          <w:szCs w:val="16"/>
        </w:rPr>
        <w:t>2. 违反制度或有损委员会声誉的行为，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将被强制退出。</w:t>
      </w:r>
    </w:p>
    <w:p w14:paraId="0A841ED5">
      <w:pPr>
        <w:pStyle w:val="2"/>
        <w:spacing w:line="218" w:lineRule="auto"/>
        <w:ind w:left="3090"/>
        <w:outlineLvl w:val="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6"/>
          <w:sz w:val="20"/>
          <w:szCs w:val="20"/>
        </w:rPr>
        <w:t>第八章附则</w:t>
      </w:r>
    </w:p>
    <w:p w14:paraId="46C20651">
      <w:pPr>
        <w:pStyle w:val="2"/>
        <w:spacing w:before="8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第二十二条专业委员会类别</w:t>
      </w:r>
    </w:p>
    <w:p w14:paraId="4D091915">
      <w:pPr>
        <w:pStyle w:val="2"/>
        <w:spacing w:before="55" w:line="256" w:lineRule="auto"/>
        <w:ind w:left="3089" w:right="3114"/>
        <w:jc w:val="both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1"/>
          <w:sz w:val="16"/>
          <w:szCs w:val="16"/>
        </w:rPr>
        <w:t>南粤文化交流中心专业委员会包括但不限于研究类、</w:t>
      </w:r>
      <w:r>
        <w:rPr>
          <w:rFonts w:hint="eastAsia" w:ascii="仿宋" w:hAnsi="仿宋" w:eastAsia="仿宋" w:cs="仿宋"/>
          <w:spacing w:val="-2"/>
          <w:sz w:val="16"/>
          <w:szCs w:val="16"/>
        </w:rPr>
        <w:t>策划类、</w:t>
      </w:r>
      <w:r>
        <w:rPr>
          <w:rFonts w:hint="eastAsia" w:ascii="仿宋" w:hAnsi="仿宋" w:eastAsia="仿宋" w:cs="仿宋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4"/>
          <w:sz w:val="16"/>
          <w:szCs w:val="16"/>
        </w:rPr>
        <w:t>规划类、设计类、工程类、管理类、金融类、产业类、科技类、</w:t>
      </w:r>
      <w:r>
        <w:rPr>
          <w:rFonts w:hint="eastAsia" w:ascii="仿宋" w:hAnsi="仿宋" w:eastAsia="仿宋" w:cs="仿宋"/>
          <w:spacing w:val="1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spacing w:val="-3"/>
          <w:sz w:val="16"/>
          <w:szCs w:val="16"/>
        </w:rPr>
        <w:t>文化类、商业类、法务类、安全类等。</w:t>
      </w:r>
    </w:p>
    <w:p w14:paraId="58B0A95B">
      <w:pPr>
        <w:pStyle w:val="2"/>
        <w:spacing w:before="117" w:line="219" w:lineRule="auto"/>
        <w:ind w:left="3090"/>
        <w:outlineLvl w:val="4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-2"/>
          <w:sz w:val="16"/>
          <w:szCs w:val="16"/>
        </w:rPr>
        <w:t>第二十三条制度解释权</w:t>
      </w:r>
    </w:p>
    <w:p w14:paraId="54C0B972">
      <w:pPr>
        <w:pStyle w:val="2"/>
        <w:spacing w:before="2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本制度的最终解释权归广东省南粤文化交流中心所有。</w:t>
      </w:r>
    </w:p>
    <w:p w14:paraId="127DEA8F">
      <w:pPr>
        <w:pStyle w:val="2"/>
        <w:spacing w:before="116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1"/>
          <w:sz w:val="16"/>
          <w:szCs w:val="16"/>
        </w:rPr>
        <w:t>第二十四条修订和更新</w:t>
      </w:r>
    </w:p>
    <w:p w14:paraId="0CB5CECB">
      <w:pPr>
        <w:pStyle w:val="2"/>
        <w:spacing w:before="30" w:line="219" w:lineRule="auto"/>
        <w:ind w:left="3089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-3"/>
          <w:sz w:val="16"/>
          <w:szCs w:val="16"/>
        </w:rPr>
        <w:t>本制度暂定每一年修订一次，以确保制度的时效性和适用性。</w:t>
      </w:r>
    </w:p>
    <w:sectPr>
      <w:pgSz w:w="11905" w:h="16840"/>
      <w:pgMar w:top="105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382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"/>
      <w:szCs w:val="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1553</Words>
  <Characters>1587</Characters>
  <TotalTime>0</TotalTime>
  <ScaleCrop>false</ScaleCrop>
  <LinksUpToDate>false</LinksUpToDate>
  <CharactersWithSpaces>1640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2025-10-21T09:39:00Z</dcterms:created>
  <dc:creator>Administrator</dc:creator>
  <cp:lastModifiedBy>w</cp:lastModifiedBy>
  <dcterms:modified xsi:type="dcterms:W3CDTF">2025-10-21T01:40:09Z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2025-10-21T09:39:42Z</vt:filetime>
  </property>
  <property fmtid="{D5CDD505-2E9C-101B-9397-08002B2CF9AE}" pid="4" name="UsrData">
    <vt:lpwstr>68f6e457a242d5001f32649awl</vt:lpwstr>
  </property>
  <property fmtid="{D5CDD505-2E9C-101B-9397-08002B2CF9AE}" pid="5" name="KSOTemplateDocerSaveRecord">
    <vt:lpwstr>eyJoZGlkIjoiZTVlOTkwYzU3MjU2ZjdhNzFlNGM2OTllOTcyNTFiM2YiLCJ1c2VySWQiOiI4MDY2MTczODUifQ==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C6B6CDF1B4354242ACF61312E2A9DD49_12</vt:lpwstr>
  </property>
</Properties>
</file>